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101EB">
      <w:pPr>
        <w:widowControl/>
        <w:rPr>
          <w:rFonts w:ascii="华文中宋" w:hAnsi="华文中宋" w:eastAsia="仿宋_GB2312" w:cs="宋体"/>
          <w:color w:val="auto"/>
          <w:kern w:val="0"/>
          <w:sz w:val="36"/>
          <w:szCs w:val="36"/>
        </w:rPr>
      </w:pPr>
      <w:r>
        <w:rPr>
          <w:rFonts w:hint="eastAsia" w:ascii="仿宋_GB2312" w:hAnsi="仿宋_GB2312" w:eastAsia="仿宋_GB2312" w:cs="仿宋_GB2312"/>
          <w:color w:val="auto"/>
          <w:kern w:val="0"/>
          <w:sz w:val="30"/>
          <w:szCs w:val="30"/>
        </w:rPr>
        <w:t>附件1</w:t>
      </w:r>
    </w:p>
    <w:p w14:paraId="5DCF49F7">
      <w:pPr>
        <w:widowControl/>
        <w:spacing w:afterLines="100"/>
        <w:jc w:val="center"/>
        <w:rPr>
          <w:rFonts w:hint="eastAsia" w:ascii="华文中宋" w:hAnsi="华文中宋" w:eastAsia="华文中宋" w:cs="宋体"/>
          <w:b/>
          <w:color w:val="auto"/>
          <w:kern w:val="0"/>
          <w:sz w:val="36"/>
          <w:szCs w:val="36"/>
          <w:lang w:val="en-US" w:eastAsia="zh-CN"/>
        </w:rPr>
      </w:pPr>
      <w:r>
        <w:rPr>
          <w:rFonts w:hint="eastAsia" w:ascii="华文中宋" w:hAnsi="华文中宋" w:eastAsia="华文中宋" w:cs="宋体"/>
          <w:b/>
          <w:color w:val="auto"/>
          <w:kern w:val="0"/>
          <w:sz w:val="36"/>
          <w:szCs w:val="36"/>
        </w:rPr>
        <w:t>培训课程及师资</w:t>
      </w:r>
      <w:r>
        <w:rPr>
          <w:rFonts w:hint="eastAsia" w:ascii="华文中宋" w:hAnsi="华文中宋" w:eastAsia="华文中宋" w:cs="宋体"/>
          <w:b/>
          <w:color w:val="auto"/>
          <w:kern w:val="0"/>
          <w:sz w:val="36"/>
          <w:szCs w:val="36"/>
          <w:lang w:val="en-US" w:eastAsia="zh-CN"/>
        </w:rPr>
        <w:t>简介</w:t>
      </w:r>
    </w:p>
    <w:p w14:paraId="58A5780D">
      <w:pPr>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自2010年起，应广大会员单位需求，中国物业管理协会设施设备技术专业委员会编写出版了《物业承接查验操作指南》《物业设施设备管理指南》丛书。丛书遵循《物业管理条例》基本原则，紧扣物业服务企业管理职责，汇集行业发展多年来承接查验操作经验，是集技术性、实用性与指导性于一体的系列丛书，2020年—2021年应行业发展需求中国物业管理协会分别对两本丛书进行了修订。</w:t>
      </w:r>
    </w:p>
    <w:p w14:paraId="172D34E5">
      <w:pPr>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中国物业管理协会培训中心以两本丛书为教材，根据物业管理行业发展新需求开展了</w:t>
      </w:r>
      <w:r>
        <w:rPr>
          <w:rFonts w:ascii="仿宋_GB2312" w:hAnsi="仿宋" w:eastAsia="仿宋_GB2312" w:cs="仿宋"/>
          <w:color w:val="auto"/>
          <w:kern w:val="0"/>
          <w:sz w:val="30"/>
          <w:szCs w:val="30"/>
        </w:rPr>
        <w:t>8</w:t>
      </w:r>
      <w:r>
        <w:rPr>
          <w:rFonts w:hint="eastAsia" w:ascii="仿宋_GB2312" w:hAnsi="仿宋" w:eastAsia="仿宋_GB2312" w:cs="仿宋"/>
          <w:color w:val="auto"/>
          <w:kern w:val="0"/>
          <w:sz w:val="30"/>
          <w:szCs w:val="30"/>
          <w:lang w:val="en-US" w:eastAsia="zh-CN"/>
        </w:rPr>
        <w:t>6</w:t>
      </w:r>
      <w:r>
        <w:rPr>
          <w:rFonts w:hint="eastAsia" w:ascii="仿宋_GB2312" w:hAnsi="仿宋" w:eastAsia="仿宋_GB2312" w:cs="仿宋"/>
          <w:color w:val="auto"/>
          <w:kern w:val="0"/>
          <w:sz w:val="30"/>
          <w:szCs w:val="30"/>
        </w:rPr>
        <w:t>期“全国物业承接查验与设施设备管理专业技术岗位培训班”，旨在为物业管理行业持续培养既懂政策法规与业务标准，又懂建筑物本体及设备设施管理流程和专业技能的复合型人才，欢迎参与！</w:t>
      </w:r>
    </w:p>
    <w:p w14:paraId="2CC85757">
      <w:pPr>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br w:type="page"/>
      </w:r>
    </w:p>
    <w:p w14:paraId="6022975F">
      <w:pPr>
        <w:spacing w:line="60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1.王寿轩  老师</w:t>
      </w:r>
    </w:p>
    <w:p w14:paraId="473A607D">
      <w:pPr>
        <w:spacing w:line="60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空调系统、给排水系统</w:t>
      </w:r>
    </w:p>
    <w:p w14:paraId="54FED882">
      <w:pPr>
        <w:spacing w:line="60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w w:val="96"/>
          <w:kern w:val="0"/>
          <w:sz w:val="30"/>
          <w:szCs w:val="30"/>
        </w:rPr>
        <w:t>中国物业管理</w:t>
      </w:r>
      <w:r>
        <w:rPr>
          <w:rFonts w:hint="eastAsia" w:ascii="仿宋_GB2312" w:hAnsi="仿宋" w:eastAsia="仿宋_GB2312" w:cs="仿宋"/>
          <w:color w:val="auto"/>
          <w:w w:val="96"/>
          <w:kern w:val="0"/>
          <w:sz w:val="30"/>
          <w:szCs w:val="30"/>
        </w:rPr>
        <w:t xml:space="preserve">协会 </w:t>
      </w:r>
      <w:r>
        <w:rPr>
          <w:rFonts w:hint="eastAsia" w:ascii="仿宋_GB2312" w:hAnsi="仿宋_GB2312" w:eastAsia="仿宋_GB2312" w:cs="仿宋_GB2312"/>
          <w:color w:val="auto"/>
          <w:w w:val="96"/>
          <w:kern w:val="0"/>
          <w:sz w:val="30"/>
          <w:szCs w:val="30"/>
        </w:rPr>
        <w:t>高级顾问</w:t>
      </w:r>
    </w:p>
    <w:p w14:paraId="3E343D58">
      <w:pPr>
        <w:spacing w:line="600" w:lineRule="exact"/>
        <w:ind w:firstLine="144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w w:val="96"/>
          <w:kern w:val="0"/>
          <w:sz w:val="30"/>
          <w:szCs w:val="30"/>
        </w:rPr>
        <w:t>中国</w:t>
      </w:r>
      <w:r>
        <w:rPr>
          <w:rFonts w:hint="eastAsia" w:ascii="仿宋_GB2312" w:hAnsi="仿宋_GB2312" w:eastAsia="仿宋_GB2312" w:cs="仿宋_GB2312"/>
          <w:color w:val="auto"/>
          <w:kern w:val="0"/>
          <w:sz w:val="30"/>
          <w:szCs w:val="30"/>
        </w:rPr>
        <w:t>物业管理</w:t>
      </w:r>
      <w:r>
        <w:rPr>
          <w:rFonts w:hint="eastAsia" w:ascii="仿宋_GB2312" w:hAnsi="仿宋" w:eastAsia="仿宋_GB2312" w:cs="仿宋"/>
          <w:color w:val="auto"/>
          <w:w w:val="96"/>
          <w:kern w:val="0"/>
          <w:sz w:val="30"/>
          <w:szCs w:val="30"/>
        </w:rPr>
        <w:t>协会</w:t>
      </w:r>
      <w:r>
        <w:rPr>
          <w:rFonts w:hint="eastAsia" w:ascii="仿宋_GB2312" w:hAnsi="仿宋_GB2312" w:eastAsia="仿宋_GB2312" w:cs="仿宋_GB2312"/>
          <w:color w:val="auto"/>
          <w:w w:val="96"/>
          <w:kern w:val="0"/>
          <w:sz w:val="30"/>
          <w:szCs w:val="30"/>
        </w:rPr>
        <w:t>设施设备技术专业委员会 高级顾问</w:t>
      </w:r>
    </w:p>
    <w:p w14:paraId="52A2FC49">
      <w:pPr>
        <w:spacing w:line="60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中国物业管理协会标准化建设专业委员会专家委员</w:t>
      </w:r>
    </w:p>
    <w:p w14:paraId="18F97361">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河南财经政法大学外聘讲师</w:t>
      </w:r>
    </w:p>
    <w:p w14:paraId="16BAACF3">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河南财政金融学院外聘教授</w:t>
      </w:r>
    </w:p>
    <w:p w14:paraId="05E6E1D9">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山东山青物业管理研究院外聘教授</w:t>
      </w:r>
    </w:p>
    <w:p w14:paraId="22962458">
      <w:pPr>
        <w:spacing w:line="600" w:lineRule="exact"/>
        <w:ind w:firstLine="602" w:firstLineChars="2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空调工程师/设备工程师/物业管理师</w:t>
      </w:r>
    </w:p>
    <w:p w14:paraId="09EF3813">
      <w:pPr>
        <w:widowControl/>
        <w:spacing w:line="60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从事暖通空调专业工程设计、安装调试、运行维护、技术改造及设施设备管理50余年，在空调运行维护、技术改造、安装调试、节能减排、设备管理、专业教学等方面解决了多项疑难问题，积累了丰富的实践经验，获得了多项成果。</w:t>
      </w:r>
    </w:p>
    <w:p w14:paraId="0CEA3E46">
      <w:pPr>
        <w:widowControl/>
        <w:spacing w:line="60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寿轩老师在担任中国物业管理协会设施设备技术专业委员会高级顾问与中国物业管理协会标准化建设专业委员会专家委员期间，作为主要评审专家参加了国家标准《空调通风系统运行管理规范》（2016修订版）和行业标准《绿色建筑运行维护技术规范》编写工作。作为执行副主编及副主编，负责编写《物业项目经理实操精选》；主笔《物业承接查验操作指南》概述、空调、给排水部分；主笔《物业设施设备管理指南》管理基础、空调系统部分。2009年“楼宇设施设备管理新模式”获中国设备工程学会TnPM分会年会“优秀论文奖”，2016年在河南省科技学会年会发表专业论文与专题演讲“绿色建筑运行维护管理”。</w:t>
      </w:r>
    </w:p>
    <w:p w14:paraId="3E14787B">
      <w:pPr>
        <w:spacing w:line="58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2.王利敏  老师</w:t>
      </w:r>
    </w:p>
    <w:p w14:paraId="1D9F9896">
      <w:pPr>
        <w:widowControl/>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主讲</w:t>
      </w:r>
      <w:r>
        <w:rPr>
          <w:rFonts w:hint="eastAsia" w:ascii="仿宋_GB2312" w:hAnsi="仿宋_GB2312" w:eastAsia="仿宋_GB2312" w:cs="仿宋_GB2312"/>
          <w:color w:val="auto"/>
          <w:kern w:val="0"/>
          <w:sz w:val="30"/>
          <w:szCs w:val="30"/>
        </w:rPr>
        <w:t>：房屋及设施管理、消防设施设备管理</w:t>
      </w:r>
    </w:p>
    <w:p w14:paraId="658B6E81">
      <w:pPr>
        <w:spacing w:line="580" w:lineRule="exact"/>
        <w:ind w:firstLine="602" w:firstLineChars="200"/>
        <w:jc w:val="left"/>
        <w:rPr>
          <w:rFonts w:ascii="仿宋_GB2312" w:hAnsi="仿宋_GB2312" w:eastAsia="仿宋_GB2312" w:cs="仿宋_GB2312"/>
          <w:color w:val="auto"/>
          <w:w w:val="93"/>
          <w:kern w:val="0"/>
          <w:sz w:val="30"/>
          <w:szCs w:val="30"/>
        </w:rPr>
      </w:pPr>
      <w:r>
        <w:rPr>
          <w:rFonts w:hint="eastAsia" w:ascii="仿宋_GB2312" w:hAnsi="仿宋_GB2312" w:eastAsia="仿宋_GB2312" w:cs="仿宋_GB2312"/>
          <w:b/>
          <w:bCs/>
          <w:color w:val="auto"/>
          <w:kern w:val="0"/>
          <w:sz w:val="30"/>
          <w:szCs w:val="30"/>
        </w:rPr>
        <w:t>职务</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w w:val="86"/>
          <w:kern w:val="0"/>
          <w:sz w:val="30"/>
          <w:szCs w:val="30"/>
        </w:rPr>
        <w:t>中国物业</w:t>
      </w:r>
      <w:r>
        <w:rPr>
          <w:rFonts w:hint="eastAsia" w:ascii="仿宋_GB2312" w:hAnsi="仿宋" w:eastAsia="仿宋_GB2312" w:cs="仿宋"/>
          <w:color w:val="auto"/>
          <w:w w:val="86"/>
          <w:kern w:val="0"/>
          <w:sz w:val="30"/>
          <w:szCs w:val="30"/>
        </w:rPr>
        <w:t>管理</w:t>
      </w:r>
      <w:r>
        <w:rPr>
          <w:rFonts w:hint="eastAsia" w:ascii="仿宋_GB2312" w:hAnsi="仿宋_GB2312" w:eastAsia="仿宋_GB2312" w:cs="仿宋_GB2312"/>
          <w:color w:val="auto"/>
          <w:w w:val="86"/>
          <w:kern w:val="0"/>
          <w:sz w:val="30"/>
          <w:szCs w:val="30"/>
        </w:rPr>
        <w:t>协会设施设备技术专业委员会 副主任兼秘书长</w:t>
      </w:r>
    </w:p>
    <w:p w14:paraId="47570997">
      <w:pPr>
        <w:widowControl/>
        <w:spacing w:line="580" w:lineRule="exact"/>
        <w:ind w:firstLine="1485" w:firstLineChars="550"/>
        <w:rPr>
          <w:rFonts w:ascii="仿宋_GB2312" w:hAnsi="仿宋_GB2312" w:eastAsia="仿宋_GB2312" w:cs="仿宋_GB2312"/>
          <w:color w:val="auto"/>
          <w:w w:val="90"/>
          <w:kern w:val="0"/>
          <w:sz w:val="30"/>
          <w:szCs w:val="30"/>
        </w:rPr>
      </w:pPr>
      <w:r>
        <w:rPr>
          <w:rFonts w:hint="eastAsia" w:ascii="仿宋_GB2312" w:hAnsi="仿宋_GB2312" w:eastAsia="仿宋_GB2312" w:cs="仿宋_GB2312"/>
          <w:color w:val="auto"/>
          <w:w w:val="90"/>
          <w:kern w:val="0"/>
          <w:sz w:val="30"/>
          <w:szCs w:val="30"/>
        </w:rPr>
        <w:t>广东省物业管理行业协会物业管理设施设备专家库 专家</w:t>
      </w:r>
    </w:p>
    <w:p w14:paraId="6E4F6773">
      <w:pPr>
        <w:widowControl/>
        <w:spacing w:line="580" w:lineRule="exact"/>
        <w:ind w:firstLine="602"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职称</w:t>
      </w:r>
      <w:r>
        <w:rPr>
          <w:rFonts w:hint="eastAsia" w:ascii="仿宋_GB2312" w:hAnsi="仿宋_GB2312" w:eastAsia="仿宋_GB2312" w:cs="仿宋_GB2312"/>
          <w:color w:val="auto"/>
          <w:kern w:val="0"/>
          <w:sz w:val="30"/>
          <w:szCs w:val="30"/>
        </w:rPr>
        <w:t>：船舶轮机工程师/物业管理师</w:t>
      </w:r>
    </w:p>
    <w:p w14:paraId="00C453DA">
      <w:pPr>
        <w:widowControl/>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在广州市三原物业管理有限公司（原国家一级资质物业服务企业）担任总经理21年，负责全面经营管理工作。并在公司成立前期负责筹划建立公司物业设施设备运维组织体系，担任工程经理5年。负责公司质量管理体系的建立和运行工作。</w:t>
      </w:r>
    </w:p>
    <w:p w14:paraId="284DD5F9">
      <w:pPr>
        <w:pStyle w:val="4"/>
        <w:spacing w:line="580" w:lineRule="exact"/>
        <w:ind w:firstLine="6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利敏老师在担任广州市物业管理行业协会副会长、常务副会长期间，负责编写了《物业设施设备故障分析及处理案例集》培训教材，参与评审了《物业服务企业安全生产标准化规范》。在担任中国物业管理协会设施设备技术专业委员会委员、常务副主任兼秘书长期间，参加2010年和2013年中国物业管理协会设施设备技术专业委员会编著出版的《物业设施设备管理指南》和《物业承接查验操作指南》，担任副主编和执行副主编并参与执笔、篇章统稿工作。自2010年4月至今，担任中国物业管理协会《物业承接查验与设施设备管理专业技术岗位》培训班“房屋及设施”与“消防系统”两门专业课的授课专家。2019年和2020年负责并完成两本《指南》教材的首次修订工作。</w:t>
      </w:r>
    </w:p>
    <w:p w14:paraId="13C4C345">
      <w:pPr>
        <w:spacing w:line="58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2021年，王利敏老师参加了中国物业管理协会设施设备技术专业委员会《超高层建筑设施设备管理指南》的编著工作，任编写委员会统筹常务组委员。</w:t>
      </w:r>
    </w:p>
    <w:p w14:paraId="20424411">
      <w:pPr>
        <w:spacing w:line="580" w:lineRule="exact"/>
        <w:ind w:firstLine="301" w:firstLineChars="100"/>
        <w:rPr>
          <w:rFonts w:ascii="仿宋_GB2312" w:hAnsi="仿宋" w:eastAsia="仿宋_GB2312" w:cs="仿宋"/>
          <w:b/>
          <w:bCs/>
          <w:color w:val="auto"/>
          <w:kern w:val="0"/>
          <w:sz w:val="30"/>
          <w:szCs w:val="30"/>
        </w:rPr>
      </w:pPr>
    </w:p>
    <w:p w14:paraId="696E07FC">
      <w:pPr>
        <w:spacing w:line="58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3.杨伟栋  老师</w:t>
      </w:r>
    </w:p>
    <w:p w14:paraId="37DA9AE1">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强电系统、弱电系统</w:t>
      </w:r>
    </w:p>
    <w:p w14:paraId="7E8B4B86">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 w:eastAsia="仿宋_GB2312" w:cs="仿宋"/>
          <w:color w:val="auto"/>
          <w:kern w:val="0"/>
          <w:sz w:val="30"/>
          <w:szCs w:val="30"/>
        </w:rPr>
        <w:t>上海锐翔上房物业管理有限公司 总工程师</w:t>
      </w:r>
    </w:p>
    <w:p w14:paraId="46BAC5FC">
      <w:pPr>
        <w:spacing w:line="580" w:lineRule="exact"/>
        <w:ind w:firstLine="1500" w:firstLineChars="5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中国物业管理协会设施设备技术专业委员会 副主任</w:t>
      </w:r>
    </w:p>
    <w:p w14:paraId="0AD63232">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 w:eastAsia="仿宋_GB2312" w:cs="仿宋"/>
          <w:color w:val="auto"/>
          <w:kern w:val="0"/>
          <w:sz w:val="30"/>
          <w:szCs w:val="30"/>
        </w:rPr>
        <w:t>高级工程师/国家注册一级建造师（机电）</w:t>
      </w:r>
    </w:p>
    <w:p w14:paraId="2B7CFD97">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 w:eastAsia="仿宋_GB2312" w:cs="仿宋"/>
          <w:color w:val="auto"/>
          <w:kern w:val="0"/>
          <w:sz w:val="30"/>
          <w:szCs w:val="30"/>
        </w:rPr>
        <w:t>2016年担任上海锐翔上房物业管理有限公司总工程师一职、同时担任上房方征投资管理有限公司工程技术总监，全面负责集团下属各投资公司工程技术管理的全面工作。</w:t>
      </w:r>
    </w:p>
    <w:p w14:paraId="15804108">
      <w:pPr>
        <w:spacing w:line="580" w:lineRule="exact"/>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杨伟栋老师在担任中国物业管理协会设施设备技术专业委员会委员和副主任期间，参与并担任了全国行业职业技术技能大赛第一、二、三届（电工）组赛务工作，同时担任第二、三届命题组长 裁判长职务。2019年和2020年负责并完成两本《指南》强电系统首次修订的组内统稿审核工作。自2019年至今，</w:t>
      </w:r>
      <w:r>
        <w:rPr>
          <w:rFonts w:hint="eastAsia" w:ascii="仿宋_GB2312" w:hAnsi="仿宋_GB2312" w:eastAsia="仿宋_GB2312" w:cs="仿宋_GB2312"/>
          <w:color w:val="auto"/>
          <w:kern w:val="0"/>
          <w:sz w:val="30"/>
          <w:szCs w:val="30"/>
        </w:rPr>
        <w:t>担任中国物业管理协会《物业承接查验与设施设备管理专业技术岗位》培训班“</w:t>
      </w:r>
      <w:r>
        <w:rPr>
          <w:rFonts w:hint="eastAsia" w:ascii="仿宋_GB2312" w:hAnsi="仿宋" w:eastAsia="仿宋_GB2312" w:cs="仿宋"/>
          <w:color w:val="auto"/>
          <w:kern w:val="0"/>
          <w:sz w:val="30"/>
          <w:szCs w:val="30"/>
        </w:rPr>
        <w:t>强电系统</w:t>
      </w:r>
      <w:r>
        <w:rPr>
          <w:rFonts w:hint="eastAsia" w:ascii="仿宋_GB2312" w:hAnsi="仿宋_GB2312" w:eastAsia="仿宋_GB2312" w:cs="仿宋_GB2312"/>
          <w:color w:val="auto"/>
          <w:kern w:val="0"/>
          <w:sz w:val="30"/>
          <w:szCs w:val="30"/>
        </w:rPr>
        <w:t>”与“</w:t>
      </w:r>
      <w:r>
        <w:rPr>
          <w:rFonts w:hint="eastAsia" w:ascii="仿宋_GB2312" w:hAnsi="仿宋" w:eastAsia="仿宋_GB2312" w:cs="仿宋"/>
          <w:color w:val="auto"/>
          <w:kern w:val="0"/>
          <w:sz w:val="30"/>
          <w:szCs w:val="30"/>
        </w:rPr>
        <w:t>弱电系统</w:t>
      </w:r>
      <w:r>
        <w:rPr>
          <w:rFonts w:hint="eastAsia" w:ascii="仿宋_GB2312" w:hAnsi="仿宋_GB2312" w:eastAsia="仿宋_GB2312" w:cs="仿宋_GB2312"/>
          <w:color w:val="auto"/>
          <w:kern w:val="0"/>
          <w:sz w:val="30"/>
          <w:szCs w:val="30"/>
        </w:rPr>
        <w:t>”两门专业的授课专家。</w:t>
      </w:r>
      <w:r>
        <w:rPr>
          <w:rFonts w:hint="eastAsia" w:ascii="仿宋_GB2312" w:hAnsi="仿宋" w:eastAsia="仿宋_GB2312" w:cs="仿宋"/>
          <w:color w:val="auto"/>
          <w:kern w:val="0"/>
          <w:sz w:val="30"/>
          <w:szCs w:val="30"/>
        </w:rPr>
        <w:t>此外，杨伟栋老师在上海市物业管理行业协会担任设施设备专业委员会主任，并兼任工程专业大组组长一职；受聘上海市物协与市估价师协会联合举办的（物业价格评估师）讲师，主讲物业设施设备与工程能耗测算。</w:t>
      </w:r>
    </w:p>
    <w:p w14:paraId="56B179A9">
      <w:pPr>
        <w:spacing w:line="580" w:lineRule="exact"/>
        <w:ind w:firstLine="301" w:firstLineChars="100"/>
        <w:rPr>
          <w:rFonts w:ascii="仿宋_GB2312" w:hAnsi="仿宋" w:eastAsia="仿宋_GB2312" w:cs="仿宋"/>
          <w:b/>
          <w:bCs/>
          <w:color w:val="auto"/>
          <w:kern w:val="0"/>
          <w:sz w:val="30"/>
          <w:szCs w:val="30"/>
        </w:rPr>
        <w:sectPr>
          <w:pgSz w:w="11906" w:h="16838"/>
          <w:pgMar w:top="1440" w:right="1803" w:bottom="1440" w:left="1803" w:header="851" w:footer="992" w:gutter="0"/>
          <w:cols w:space="720" w:num="1"/>
          <w:docGrid w:type="lines" w:linePitch="319" w:charSpace="0"/>
        </w:sectPr>
      </w:pPr>
    </w:p>
    <w:p w14:paraId="1E19F17F">
      <w:pPr>
        <w:spacing w:line="54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4.左壮  老师</w:t>
      </w:r>
    </w:p>
    <w:p w14:paraId="548B8075">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_GB2312" w:eastAsia="仿宋_GB2312" w:cs="仿宋_GB2312"/>
          <w:color w:val="auto"/>
          <w:kern w:val="0"/>
          <w:sz w:val="30"/>
          <w:szCs w:val="30"/>
        </w:rPr>
        <w:t>电梯系统承接查验管理</w:t>
      </w:r>
    </w:p>
    <w:p w14:paraId="200E4BC0">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全国物业服务标准化技术委员会 委员</w:t>
      </w:r>
    </w:p>
    <w:p w14:paraId="24D046D9">
      <w:pPr>
        <w:keepNext w:val="0"/>
        <w:keepLines w:val="0"/>
        <w:pageBreakBefore w:val="0"/>
        <w:kinsoku/>
        <w:wordWrap/>
        <w:overflowPunct/>
        <w:topLinePunct w:val="0"/>
        <w:autoSpaceDE/>
        <w:autoSpaceDN/>
        <w:bidi w:val="0"/>
        <w:adjustRightInd/>
        <w:snapToGrid/>
        <w:spacing w:line="500" w:lineRule="exact"/>
        <w:ind w:firstLine="1500" w:firstLineChars="500"/>
        <w:textAlignment w:val="auto"/>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深圳市深业物业运营集团股份有限公司 高级专家</w:t>
      </w:r>
    </w:p>
    <w:p w14:paraId="130DF907">
      <w:pPr>
        <w:keepNext w:val="0"/>
        <w:keepLines w:val="0"/>
        <w:pageBreakBefore w:val="0"/>
        <w:kinsoku/>
        <w:wordWrap/>
        <w:overflowPunct/>
        <w:topLinePunct w:val="0"/>
        <w:autoSpaceDE/>
        <w:autoSpaceDN/>
        <w:bidi w:val="0"/>
        <w:adjustRightInd/>
        <w:snapToGrid/>
        <w:spacing w:line="500" w:lineRule="exact"/>
        <w:ind w:firstLine="1500" w:firstLineChars="500"/>
        <w:textAlignment w:val="auto"/>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w:t>
      </w:r>
      <w:r>
        <w:rPr>
          <w:rFonts w:hint="eastAsia" w:ascii="仿宋_GB2312" w:hAnsi="仿宋" w:eastAsia="仿宋_GB2312" w:cs="仿宋"/>
          <w:color w:val="auto"/>
          <w:kern w:val="0"/>
          <w:sz w:val="30"/>
          <w:szCs w:val="30"/>
        </w:rPr>
        <w:t>管理</w:t>
      </w:r>
      <w:r>
        <w:rPr>
          <w:rFonts w:hint="eastAsia" w:ascii="仿宋_GB2312" w:hAnsi="仿宋_GB2312" w:eastAsia="仿宋_GB2312" w:cs="仿宋_GB2312"/>
          <w:color w:val="auto"/>
          <w:kern w:val="0"/>
          <w:sz w:val="30"/>
          <w:szCs w:val="30"/>
        </w:rPr>
        <w:t>协会设施设备技术专业委员会 委员</w:t>
      </w:r>
    </w:p>
    <w:p w14:paraId="2C1AE0F2">
      <w:pPr>
        <w:keepNext w:val="0"/>
        <w:keepLines w:val="0"/>
        <w:pageBreakBefore w:val="0"/>
        <w:kinsoku/>
        <w:wordWrap/>
        <w:overflowPunct/>
        <w:topLinePunct w:val="0"/>
        <w:autoSpaceDE/>
        <w:autoSpaceDN/>
        <w:bidi w:val="0"/>
        <w:adjustRightInd/>
        <w:snapToGrid/>
        <w:spacing w:line="500" w:lineRule="exact"/>
        <w:ind w:firstLine="1500" w:firstLineChars="500"/>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广东省物业管理行业协会设施设备委员会 委员</w:t>
      </w:r>
    </w:p>
    <w:p w14:paraId="786345D8">
      <w:pPr>
        <w:keepNext w:val="0"/>
        <w:keepLines w:val="0"/>
        <w:pageBreakBefore w:val="0"/>
        <w:kinsoku/>
        <w:wordWrap/>
        <w:overflowPunct/>
        <w:topLinePunct w:val="0"/>
        <w:autoSpaceDE/>
        <w:autoSpaceDN/>
        <w:bidi w:val="0"/>
        <w:adjustRightInd/>
        <w:snapToGrid/>
        <w:spacing w:line="500" w:lineRule="exact"/>
        <w:ind w:firstLine="1500" w:firstLineChars="500"/>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深圳市物业管理行业协会设施设备管理绿色数智化</w:t>
      </w:r>
    </w:p>
    <w:p w14:paraId="79EAB4BC">
      <w:pPr>
        <w:keepNext w:val="0"/>
        <w:keepLines w:val="0"/>
        <w:pageBreakBefore w:val="0"/>
        <w:kinsoku/>
        <w:wordWrap/>
        <w:overflowPunct/>
        <w:topLinePunct w:val="0"/>
        <w:autoSpaceDE/>
        <w:autoSpaceDN/>
        <w:bidi w:val="0"/>
        <w:adjustRightInd/>
        <w:snapToGrid/>
        <w:spacing w:line="500" w:lineRule="exact"/>
        <w:ind w:firstLine="1500" w:firstLineChars="500"/>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专业委员会</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秘书长</w:t>
      </w:r>
    </w:p>
    <w:p w14:paraId="615FE442">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高级工程师/物业管理师</w:t>
      </w:r>
    </w:p>
    <w:p w14:paraId="32B312AD">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1996年从事物业管理工作至今，历任设备工程师、项目经理、部门经理、副总经理。长期从事物业企业前期介入、承接查验、标准化建设、设施设备管理、低碳运维等工作。</w:t>
      </w:r>
    </w:p>
    <w:p w14:paraId="00C517C0">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左壮老师在担任中国物业管理协会设施设备技术专业委员会委员期间，多次参与行业标准及地方标准的起草和审查工作，其中包括：</w:t>
      </w:r>
      <w:r>
        <w:rPr>
          <w:rFonts w:ascii="仿宋_GB2312" w:hAnsi="仿宋_GB2312" w:eastAsia="仿宋_GB2312" w:cs="仿宋_GB2312"/>
          <w:color w:val="auto"/>
          <w:kern w:val="0"/>
          <w:sz w:val="30"/>
          <w:szCs w:val="30"/>
        </w:rPr>
        <w:t>中国物业管理协会团体标准《设施设备绿色运行管理服务规范》T/CPMI 011—2020</w:t>
      </w:r>
      <w:r>
        <w:rPr>
          <w:rFonts w:hint="eastAsia" w:ascii="仿宋_GB2312" w:hAnsi="仿宋_GB2312" w:eastAsia="仿宋_GB2312" w:cs="仿宋_GB2312"/>
          <w:color w:val="auto"/>
          <w:kern w:val="0"/>
          <w:sz w:val="30"/>
          <w:szCs w:val="30"/>
        </w:rPr>
        <w:t>、</w:t>
      </w:r>
      <w:r>
        <w:rPr>
          <w:rFonts w:ascii="仿宋_GB2312" w:hAnsi="仿宋_GB2312" w:eastAsia="仿宋_GB2312" w:cs="仿宋_GB2312"/>
          <w:color w:val="auto"/>
          <w:kern w:val="0"/>
          <w:sz w:val="30"/>
          <w:szCs w:val="30"/>
        </w:rPr>
        <w:t>广东省地方标准《宜居社区建设评价标准》DBJ/T 15-200-2020</w:t>
      </w:r>
      <w:r>
        <w:rPr>
          <w:rFonts w:hint="eastAsia" w:ascii="仿宋_GB2312" w:hAnsi="仿宋_GB2312" w:eastAsia="仿宋_GB2312" w:cs="仿宋_GB2312"/>
          <w:color w:val="auto"/>
          <w:kern w:val="0"/>
          <w:sz w:val="30"/>
          <w:szCs w:val="30"/>
        </w:rPr>
        <w:t>和深圳市地方标准《新建物业项目承接查验规范》DB4403/T 188—2021、深圳市工程建设地方标准《绿色物业管理项目评价标准》SJG 50—2022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p>
    <w:p w14:paraId="6FF7A10E">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ascii="仿宋_GB2312" w:hAnsi="仿宋_GB2312" w:eastAsia="仿宋_GB2312" w:cs="仿宋_GB2312"/>
          <w:color w:val="auto"/>
          <w:kern w:val="0"/>
          <w:sz w:val="30"/>
          <w:szCs w:val="30"/>
        </w:rPr>
      </w:pPr>
      <w:r>
        <w:rPr>
          <w:rFonts w:hint="eastAsia" w:ascii="仿宋_GB2312" w:hAnsi="仿宋" w:eastAsia="仿宋_GB2312" w:cs="仿宋"/>
          <w:color w:val="auto"/>
          <w:kern w:val="0"/>
          <w:sz w:val="30"/>
          <w:szCs w:val="30"/>
        </w:rPr>
        <w:t>自2020年至今，</w:t>
      </w:r>
      <w:r>
        <w:rPr>
          <w:rFonts w:hint="eastAsia" w:ascii="仿宋_GB2312" w:hAnsi="仿宋_GB2312" w:eastAsia="仿宋_GB2312" w:cs="仿宋_GB2312"/>
          <w:color w:val="auto"/>
          <w:kern w:val="0"/>
          <w:sz w:val="30"/>
          <w:szCs w:val="30"/>
        </w:rPr>
        <w:t>担任中国物业管理协会《物业承接查验与设施设备管理专业技术岗位》培训班“电梯系统承接查验管理”专业的授课专家。</w:t>
      </w:r>
    </w:p>
    <w:p w14:paraId="0A325850">
      <w:pPr>
        <w:pStyle w:val="2"/>
        <w:numPr>
          <w:ilvl w:val="0"/>
          <w:numId w:val="0"/>
        </w:numPr>
        <w:ind w:left="420"/>
        <w:rPr>
          <w:color w:val="auto"/>
        </w:rPr>
      </w:pPr>
    </w:p>
    <w:p w14:paraId="1142CFAE">
      <w:pPr>
        <w:widowControl/>
        <w:rPr>
          <w:rFonts w:ascii="仿宋_GB2312" w:hAnsi="仿宋_GB2312" w:eastAsia="仿宋_GB2312" w:cs="仿宋_GB2312"/>
          <w:color w:val="auto"/>
          <w:kern w:val="0"/>
          <w:sz w:val="30"/>
          <w:szCs w:val="30"/>
        </w:rPr>
        <w:sectPr>
          <w:pgSz w:w="11906" w:h="16838"/>
          <w:pgMar w:top="1440" w:right="1803" w:bottom="1440" w:left="1803" w:header="851" w:footer="992" w:gutter="0"/>
          <w:cols w:space="720" w:num="1"/>
          <w:docGrid w:type="lines" w:linePitch="319" w:charSpace="0"/>
        </w:sectPr>
      </w:pPr>
    </w:p>
    <w:p w14:paraId="44474E75">
      <w:pPr>
        <w:widowControl/>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附件2</w:t>
      </w:r>
    </w:p>
    <w:p w14:paraId="75C1D8D8">
      <w:pPr>
        <w:widowControl/>
        <w:spacing w:line="560" w:lineRule="exact"/>
        <w:jc w:val="center"/>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食宿安排说明</w:t>
      </w:r>
    </w:p>
    <w:p w14:paraId="617A475E">
      <w:pPr>
        <w:widowControl/>
        <w:spacing w:line="560" w:lineRule="exact"/>
        <w:ind w:firstLine="600" w:firstLineChars="200"/>
        <w:jc w:val="left"/>
        <w:rPr>
          <w:rFonts w:ascii="仿宋_GB2312" w:hAnsi="仿宋" w:eastAsia="仿宋_GB2312" w:cs="仿宋"/>
          <w:color w:val="auto"/>
          <w:kern w:val="0"/>
          <w:sz w:val="30"/>
          <w:szCs w:val="30"/>
        </w:rPr>
      </w:pPr>
    </w:p>
    <w:p w14:paraId="34E46F88">
      <w:pPr>
        <w:widowControl/>
        <w:spacing w:line="560" w:lineRule="exact"/>
        <w:ind w:firstLine="600" w:firstLineChars="200"/>
        <w:jc w:val="left"/>
        <w:rPr>
          <w:rFonts w:ascii="仿宋_GB2312" w:hAnsi="仿宋" w:eastAsia="仿宋_GB2312" w:cs="仿宋"/>
          <w:b/>
          <w:bCs/>
          <w:color w:val="auto"/>
          <w:kern w:val="0"/>
          <w:sz w:val="30"/>
          <w:szCs w:val="30"/>
        </w:rPr>
      </w:pPr>
      <w:r>
        <w:rPr>
          <w:rFonts w:hint="eastAsia" w:ascii="仿宋_GB2312" w:hAnsi="仿宋" w:eastAsia="仿宋_GB2312" w:cs="仿宋"/>
          <w:color w:val="auto"/>
          <w:kern w:val="0"/>
          <w:sz w:val="30"/>
          <w:szCs w:val="30"/>
        </w:rPr>
        <w:t>学员可自行安排培训期间的住宿与用餐。如选择在培训地点【</w:t>
      </w:r>
      <w:r>
        <w:rPr>
          <w:rFonts w:hint="eastAsia" w:ascii="仿宋_GB2312" w:hAnsi="仿宋" w:eastAsia="仿宋_GB2312" w:cs="仿宋"/>
          <w:color w:val="auto"/>
          <w:kern w:val="0"/>
          <w:sz w:val="30"/>
          <w:szCs w:val="30"/>
          <w:lang w:eastAsia="zh-CN"/>
        </w:rPr>
        <w:t>乌鲁木齐市会展中心亚朵</w:t>
      </w:r>
      <w:r>
        <w:rPr>
          <w:rFonts w:hint="eastAsia" w:ascii="仿宋_GB2312" w:hAnsi="仿宋" w:eastAsia="仿宋_GB2312" w:cs="仿宋"/>
          <w:color w:val="auto"/>
          <w:kern w:val="0"/>
          <w:sz w:val="30"/>
          <w:szCs w:val="30"/>
        </w:rPr>
        <w:t>酒店】住宿就餐的学员，可参考信息如下：</w:t>
      </w:r>
    </w:p>
    <w:p w14:paraId="700F7B44">
      <w:pPr>
        <w:pStyle w:val="4"/>
        <w:spacing w:line="560" w:lineRule="exact"/>
        <w:ind w:firstLine="600" w:firstLineChars="200"/>
        <w:rPr>
          <w:rFonts w:ascii="仿宋_GB2312" w:hAnsi="仿宋" w:eastAsia="仿宋_GB2312" w:cs="仿宋"/>
          <w:color w:val="auto"/>
          <w:sz w:val="30"/>
          <w:szCs w:val="30"/>
        </w:rPr>
      </w:pPr>
      <w:r>
        <w:rPr>
          <w:rFonts w:hint="eastAsia" w:ascii="仿宋_GB2312" w:hAnsi="仿宋" w:eastAsia="仿宋_GB2312" w:cs="仿宋"/>
          <w:color w:val="auto"/>
          <w:kern w:val="0"/>
          <w:sz w:val="30"/>
          <w:szCs w:val="30"/>
        </w:rPr>
        <w:t>1.住宿：选择在酒店入住的学员，务请在报名系统中勾选入住的起、止日期，在</w:t>
      </w:r>
      <w:r>
        <w:rPr>
          <w:rFonts w:hint="eastAsia" w:ascii="仿宋_GB2312" w:hAnsi="仿宋" w:eastAsia="仿宋_GB2312" w:cs="仿宋"/>
          <w:color w:val="auto"/>
          <w:kern w:val="0"/>
          <w:sz w:val="30"/>
          <w:szCs w:val="30"/>
          <w:lang w:val="en-US" w:eastAsia="zh-CN"/>
        </w:rPr>
        <w:t>9</w:t>
      </w:r>
      <w:r>
        <w:rPr>
          <w:rFonts w:hint="eastAsia" w:ascii="仿宋_GB2312" w:hAnsi="仿宋" w:eastAsia="仿宋_GB2312" w:cs="仿宋"/>
          <w:color w:val="auto"/>
          <w:kern w:val="0"/>
          <w:sz w:val="30"/>
          <w:szCs w:val="30"/>
        </w:rPr>
        <w:t>月</w:t>
      </w:r>
      <w:r>
        <w:rPr>
          <w:rFonts w:hint="eastAsia" w:ascii="仿宋_GB2312" w:hAnsi="仿宋" w:eastAsia="仿宋_GB2312" w:cs="仿宋"/>
          <w:color w:val="auto"/>
          <w:kern w:val="0"/>
          <w:sz w:val="30"/>
          <w:szCs w:val="30"/>
          <w:lang w:val="en-US" w:eastAsia="zh-CN"/>
        </w:rPr>
        <w:t>20</w:t>
      </w:r>
      <w:r>
        <w:rPr>
          <w:rFonts w:hint="eastAsia" w:ascii="仿宋_GB2312" w:hAnsi="仿宋" w:eastAsia="仿宋_GB2312" w:cs="仿宋"/>
          <w:color w:val="auto"/>
          <w:kern w:val="0"/>
          <w:sz w:val="30"/>
          <w:szCs w:val="30"/>
        </w:rPr>
        <w:t>日</w:t>
      </w:r>
      <w:r>
        <w:rPr>
          <w:rFonts w:hint="eastAsia" w:ascii="仿宋_GB2312" w:hAnsi="仿宋" w:eastAsia="仿宋_GB2312" w:cs="仿宋"/>
          <w:color w:val="auto"/>
          <w:kern w:val="0"/>
          <w:sz w:val="30"/>
          <w:szCs w:val="30"/>
          <w:lang w:val="en-US" w:eastAsia="zh-CN"/>
        </w:rPr>
        <w:t>20</w:t>
      </w:r>
      <w:r>
        <w:rPr>
          <w:rFonts w:hint="eastAsia" w:ascii="仿宋_GB2312" w:hAnsi="仿宋" w:eastAsia="仿宋_GB2312" w:cs="仿宋"/>
          <w:color w:val="auto"/>
          <w:kern w:val="0"/>
          <w:sz w:val="30"/>
          <w:szCs w:val="30"/>
        </w:rPr>
        <w:t>:00报名截止前，可享</w:t>
      </w:r>
      <w:r>
        <w:rPr>
          <w:rFonts w:hint="eastAsia" w:ascii="仿宋_GB2312" w:hAnsi="仿宋" w:eastAsia="仿宋_GB2312" w:cs="仿宋"/>
          <w:color w:val="auto"/>
          <w:kern w:val="0"/>
          <w:sz w:val="30"/>
          <w:szCs w:val="30"/>
          <w:lang w:eastAsia="zh-CN"/>
        </w:rPr>
        <w:t>乌鲁木齐市会展中心亚朵</w:t>
      </w:r>
      <w:r>
        <w:rPr>
          <w:rFonts w:hint="eastAsia" w:ascii="仿宋_GB2312" w:hAnsi="仿宋" w:eastAsia="仿宋_GB2312" w:cs="仿宋"/>
          <w:color w:val="auto"/>
          <w:kern w:val="0"/>
          <w:sz w:val="30"/>
          <w:szCs w:val="30"/>
        </w:rPr>
        <w:t>酒店协议价【单/标准间</w:t>
      </w:r>
      <w:r>
        <w:rPr>
          <w:rFonts w:hint="eastAsia" w:ascii="仿宋_GB2312" w:hAnsi="仿宋" w:eastAsia="仿宋_GB2312" w:cs="仿宋"/>
          <w:color w:val="auto"/>
          <w:kern w:val="0"/>
          <w:sz w:val="30"/>
          <w:szCs w:val="30"/>
          <w:lang w:val="en-US" w:eastAsia="zh-CN"/>
        </w:rPr>
        <w:t>428</w:t>
      </w:r>
      <w:r>
        <w:rPr>
          <w:rFonts w:hint="eastAsia" w:ascii="仿宋_GB2312" w:hAnsi="仿宋" w:eastAsia="仿宋_GB2312" w:cs="仿宋"/>
          <w:color w:val="auto"/>
          <w:kern w:val="0"/>
          <w:sz w:val="30"/>
          <w:szCs w:val="30"/>
        </w:rPr>
        <w:t>元/间·天】，酒</w:t>
      </w:r>
      <w:r>
        <w:rPr>
          <w:rFonts w:hint="eastAsia" w:ascii="仿宋_GB2312" w:hAnsi="仿宋" w:eastAsia="仿宋_GB2312" w:cs="仿宋"/>
          <w:color w:val="auto"/>
          <w:sz w:val="30"/>
          <w:szCs w:val="30"/>
        </w:rPr>
        <w:t>店根据学员需求按照“先到先得</w:t>
      </w:r>
      <w:r>
        <w:rPr>
          <w:rFonts w:ascii="仿宋_GB2312" w:hAnsi="仿宋" w:eastAsia="仿宋_GB2312" w:cs="仿宋"/>
          <w:color w:val="auto"/>
          <w:sz w:val="30"/>
          <w:szCs w:val="30"/>
        </w:rPr>
        <w:t>”</w:t>
      </w:r>
      <w:r>
        <w:rPr>
          <w:rFonts w:hint="eastAsia" w:ascii="仿宋_GB2312" w:hAnsi="仿宋" w:eastAsia="仿宋_GB2312" w:cs="仿宋"/>
          <w:color w:val="auto"/>
          <w:sz w:val="30"/>
          <w:szCs w:val="30"/>
        </w:rPr>
        <w:t>原则安排入住，</w:t>
      </w:r>
      <w:r>
        <w:rPr>
          <w:rFonts w:hint="eastAsia" w:ascii="仿宋_GB2312" w:hAnsi="仿宋" w:eastAsia="仿宋_GB2312" w:cs="仿宋"/>
          <w:b/>
          <w:bCs/>
          <w:color w:val="auto"/>
          <w:kern w:val="0"/>
          <w:sz w:val="30"/>
          <w:szCs w:val="30"/>
        </w:rPr>
        <w:t>房间预留至报到当天1</w:t>
      </w:r>
      <w:r>
        <w:rPr>
          <w:rFonts w:hint="eastAsia" w:ascii="仿宋_GB2312" w:hAnsi="仿宋" w:eastAsia="仿宋_GB2312" w:cs="仿宋"/>
          <w:b/>
          <w:bCs/>
          <w:color w:val="auto"/>
          <w:kern w:val="0"/>
          <w:sz w:val="30"/>
          <w:szCs w:val="30"/>
          <w:lang w:val="en-US" w:eastAsia="zh-CN"/>
        </w:rPr>
        <w:t>8</w:t>
      </w:r>
      <w:r>
        <w:rPr>
          <w:rFonts w:hint="eastAsia" w:ascii="仿宋_GB2312" w:hAnsi="仿宋" w:eastAsia="仿宋_GB2312" w:cs="仿宋"/>
          <w:b/>
          <w:bCs/>
          <w:color w:val="auto"/>
          <w:kern w:val="0"/>
          <w:sz w:val="30"/>
          <w:szCs w:val="30"/>
        </w:rPr>
        <w:t>:00（超时即视为放弃）</w:t>
      </w:r>
      <w:r>
        <w:rPr>
          <w:rFonts w:hint="eastAsia" w:ascii="仿宋_GB2312" w:hAnsi="仿宋" w:eastAsia="仿宋_GB2312" w:cs="仿宋"/>
          <w:color w:val="auto"/>
          <w:kern w:val="0"/>
          <w:sz w:val="30"/>
          <w:szCs w:val="30"/>
        </w:rPr>
        <w:t>，</w:t>
      </w:r>
      <w:r>
        <w:rPr>
          <w:rFonts w:hint="eastAsia" w:ascii="仿宋_GB2312" w:hAnsi="仿宋" w:eastAsia="仿宋_GB2312" w:cs="仿宋"/>
          <w:color w:val="auto"/>
          <w:sz w:val="30"/>
          <w:szCs w:val="30"/>
        </w:rPr>
        <w:t>敬请学员理解配合；</w:t>
      </w:r>
    </w:p>
    <w:p w14:paraId="78E9A075">
      <w:pPr>
        <w:pStyle w:val="4"/>
        <w:spacing w:line="560" w:lineRule="exact"/>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请学员报到时自行到酒店前台办理入住，费用自理。</w:t>
      </w:r>
    </w:p>
    <w:p w14:paraId="62235479">
      <w:pPr>
        <w:widowControl/>
        <w:spacing w:line="560" w:lineRule="exact"/>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2.用餐：学员可自行选择在酒店用餐或外出就餐，如您选择在酒店用餐，请直接与酒店联系（</w:t>
      </w:r>
      <w:r>
        <w:rPr>
          <w:rFonts w:hint="eastAsia" w:ascii="仿宋_GB2312" w:hAnsi="仿宋" w:eastAsia="仿宋_GB2312" w:cs="仿宋"/>
          <w:color w:val="auto"/>
          <w:kern w:val="0"/>
          <w:sz w:val="30"/>
          <w:szCs w:val="30"/>
          <w:lang w:val="en-US" w:eastAsia="zh-CN"/>
        </w:rPr>
        <w:t>0991-6163333</w:t>
      </w:r>
      <w:r>
        <w:rPr>
          <w:rFonts w:hint="eastAsia" w:ascii="仿宋_GB2312" w:hAnsi="仿宋" w:eastAsia="仿宋_GB2312" w:cs="仿宋"/>
          <w:color w:val="auto"/>
          <w:kern w:val="0"/>
          <w:sz w:val="30"/>
          <w:szCs w:val="30"/>
        </w:rPr>
        <w:t>），费用自理。</w:t>
      </w:r>
    </w:p>
    <w:p w14:paraId="76712E18">
      <w:pPr>
        <w:widowControl/>
        <w:spacing w:line="560" w:lineRule="exact"/>
        <w:ind w:firstLine="600" w:firstLineChars="200"/>
        <w:jc w:val="left"/>
        <w:rPr>
          <w:rFonts w:ascii="仿宋_GB2312" w:hAnsi="仿宋_GB2312" w:eastAsia="仿宋_GB2312" w:cs="仿宋_GB2312"/>
          <w:color w:val="auto"/>
          <w:kern w:val="0"/>
          <w:sz w:val="30"/>
          <w:szCs w:val="30"/>
        </w:rPr>
        <w:sectPr>
          <w:pgSz w:w="11906" w:h="16838"/>
          <w:pgMar w:top="1440" w:right="1803" w:bottom="1440" w:left="1803" w:header="851" w:footer="992" w:gutter="0"/>
          <w:cols w:space="720" w:num="1"/>
          <w:docGrid w:type="lines" w:linePitch="319" w:charSpace="0"/>
        </w:sectPr>
      </w:pPr>
      <w:r>
        <w:rPr>
          <w:rFonts w:hint="eastAsia" w:ascii="仿宋_GB2312" w:hAnsi="仿宋" w:eastAsia="仿宋_GB2312" w:cs="仿宋"/>
          <w:color w:val="auto"/>
          <w:kern w:val="0"/>
          <w:sz w:val="30"/>
          <w:szCs w:val="30"/>
        </w:rPr>
        <w:t>3.住宿与用餐发票由酒店统一开具，凡在酒店入住的学员，在酒店用餐费可与房费一同结算开票。</w:t>
      </w:r>
    </w:p>
    <w:p w14:paraId="5DF6689C">
      <w:pPr>
        <w:widowControl/>
        <w:rPr>
          <w:rFonts w:ascii="华文中宋" w:hAnsi="华文中宋" w:eastAsia="仿宋_GB2312" w:cs="宋体"/>
          <w:color w:val="auto"/>
          <w:kern w:val="0"/>
          <w:sz w:val="36"/>
          <w:szCs w:val="36"/>
        </w:rPr>
      </w:pPr>
      <w:r>
        <w:rPr>
          <w:rFonts w:hint="eastAsia" w:ascii="仿宋_GB2312" w:hAnsi="仿宋_GB2312" w:eastAsia="仿宋_GB2312" w:cs="仿宋_GB2312"/>
          <w:color w:val="auto"/>
          <w:kern w:val="0"/>
          <w:sz w:val="30"/>
          <w:szCs w:val="30"/>
        </w:rPr>
        <w:t>附件3</w:t>
      </w:r>
    </w:p>
    <w:p w14:paraId="0B13CA3E">
      <w:pPr>
        <w:widowControl/>
        <w:spacing w:beforeLines="50"/>
        <w:jc w:val="center"/>
        <w:rPr>
          <w:rFonts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物业承接查验与设施设备专业技术岗位培训班</w:t>
      </w:r>
    </w:p>
    <w:p w14:paraId="0294669F">
      <w:pPr>
        <w:widowControl/>
        <w:spacing w:afterLines="100"/>
        <w:ind w:firstLine="721"/>
        <w:jc w:val="center"/>
        <w:rPr>
          <w:rFonts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w:t>
      </w:r>
      <w:r>
        <w:rPr>
          <w:rFonts w:hint="eastAsia" w:ascii="华文中宋" w:hAnsi="华文中宋" w:eastAsia="华文中宋" w:cs="宋体"/>
          <w:b/>
          <w:color w:val="auto"/>
          <w:kern w:val="0"/>
          <w:sz w:val="36"/>
          <w:szCs w:val="36"/>
          <w:lang w:val="en-US" w:eastAsia="zh-CN"/>
        </w:rPr>
        <w:t>新疆</w:t>
      </w:r>
      <w:r>
        <w:rPr>
          <w:rFonts w:hint="eastAsia" w:ascii="华文中宋" w:hAnsi="华文中宋" w:eastAsia="华文中宋" w:cs="宋体"/>
          <w:b/>
          <w:color w:val="auto"/>
          <w:kern w:val="0"/>
          <w:sz w:val="36"/>
          <w:szCs w:val="36"/>
        </w:rPr>
        <w:t>）学员档案卡</w:t>
      </w:r>
    </w:p>
    <w:p w14:paraId="7082959F">
      <w:pPr>
        <w:ind w:firstLine="440"/>
        <w:rPr>
          <w:rFonts w:hint="default" w:eastAsia="宋体"/>
          <w:color w:val="00B050"/>
          <w:sz w:val="22"/>
          <w:lang w:val="en-US" w:eastAsia="zh-CN"/>
        </w:rPr>
      </w:pPr>
      <w:r>
        <w:rPr>
          <w:rFonts w:hint="eastAsia"/>
          <w:color w:val="auto"/>
          <w:sz w:val="22"/>
        </w:rPr>
        <w:t xml:space="preserve">填表日期：   年    月    日                 </w:t>
      </w:r>
      <w:r>
        <w:rPr>
          <w:rFonts w:hint="eastAsia" w:ascii="宋体" w:hAnsi="宋体"/>
          <w:color w:val="auto"/>
          <w:sz w:val="22"/>
        </w:rPr>
        <w:t>证书编号</w:t>
      </w:r>
      <w:r>
        <w:rPr>
          <w:rFonts w:hint="eastAsia"/>
          <w:color w:val="auto"/>
          <w:sz w:val="22"/>
        </w:rPr>
        <w:t>：</w:t>
      </w:r>
      <w:r>
        <w:rPr>
          <w:rFonts w:hint="eastAsia"/>
          <w:color w:val="00B050"/>
          <w:sz w:val="22"/>
          <w:lang w:val="en-US" w:eastAsia="zh-CN"/>
        </w:rPr>
        <w:t>由会务组工作人员填</w:t>
      </w:r>
    </w:p>
    <w:tbl>
      <w:tblPr>
        <w:tblStyle w:val="5"/>
        <w:tblpPr w:vertAnchor="page" w:horzAnchor="page" w:tblpX="1290" w:tblpY="4349"/>
        <w:tblOverlap w:val="never"/>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059"/>
        <w:gridCol w:w="937"/>
        <w:gridCol w:w="863"/>
        <w:gridCol w:w="10"/>
        <w:gridCol w:w="2121"/>
        <w:gridCol w:w="1908"/>
      </w:tblGrid>
      <w:tr w14:paraId="629A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14:paraId="736D684F">
            <w:pPr>
              <w:jc w:val="center"/>
              <w:rPr>
                <w:rFonts w:ascii="宋体" w:hAnsi="宋体" w:eastAsiaTheme="minorEastAsia"/>
                <w:color w:val="auto"/>
                <w:sz w:val="24"/>
                <w:szCs w:val="24"/>
              </w:rPr>
            </w:pPr>
            <w:r>
              <w:rPr>
                <w:rFonts w:hint="eastAsia" w:ascii="宋体" w:hAnsi="宋体"/>
                <w:color w:val="auto"/>
                <w:sz w:val="24"/>
                <w:szCs w:val="24"/>
              </w:rPr>
              <w:t>姓    名</w:t>
            </w:r>
          </w:p>
        </w:tc>
        <w:tc>
          <w:tcPr>
            <w:tcW w:w="2059" w:type="dxa"/>
            <w:vAlign w:val="center"/>
          </w:tcPr>
          <w:p w14:paraId="6E070914">
            <w:pPr>
              <w:spacing w:line="320" w:lineRule="exact"/>
              <w:ind w:firstLine="480"/>
              <w:jc w:val="center"/>
              <w:rPr>
                <w:rFonts w:ascii="宋体" w:hAnsi="宋体"/>
                <w:color w:val="auto"/>
                <w:sz w:val="24"/>
                <w:szCs w:val="24"/>
              </w:rPr>
            </w:pPr>
          </w:p>
        </w:tc>
        <w:tc>
          <w:tcPr>
            <w:tcW w:w="1800" w:type="dxa"/>
            <w:gridSpan w:val="2"/>
            <w:vAlign w:val="center"/>
          </w:tcPr>
          <w:p w14:paraId="504AC62C">
            <w:pPr>
              <w:spacing w:line="320" w:lineRule="exact"/>
              <w:ind w:left="-267" w:leftChars="-127" w:firstLine="290" w:firstLineChars="121"/>
              <w:jc w:val="center"/>
              <w:rPr>
                <w:rFonts w:ascii="宋体" w:hAnsi="宋体" w:eastAsiaTheme="minorEastAsia"/>
                <w:color w:val="auto"/>
                <w:sz w:val="24"/>
                <w:szCs w:val="24"/>
              </w:rPr>
            </w:pPr>
            <w:r>
              <w:rPr>
                <w:rFonts w:hint="eastAsia" w:ascii="宋体" w:hAnsi="宋体"/>
                <w:color w:val="auto"/>
                <w:sz w:val="24"/>
                <w:szCs w:val="24"/>
              </w:rPr>
              <w:t>性    别</w:t>
            </w:r>
          </w:p>
        </w:tc>
        <w:tc>
          <w:tcPr>
            <w:tcW w:w="2131" w:type="dxa"/>
            <w:gridSpan w:val="2"/>
            <w:vAlign w:val="center"/>
          </w:tcPr>
          <w:p w14:paraId="72EB6B3C">
            <w:pPr>
              <w:spacing w:line="320" w:lineRule="exact"/>
              <w:ind w:firstLine="480"/>
              <w:jc w:val="center"/>
              <w:rPr>
                <w:rFonts w:ascii="宋体" w:hAnsi="宋体"/>
                <w:color w:val="auto"/>
                <w:sz w:val="24"/>
                <w:szCs w:val="24"/>
              </w:rPr>
            </w:pPr>
          </w:p>
        </w:tc>
        <w:tc>
          <w:tcPr>
            <w:tcW w:w="1908" w:type="dxa"/>
            <w:vMerge w:val="restart"/>
            <w:vAlign w:val="center"/>
          </w:tcPr>
          <w:p w14:paraId="7F5C44B8">
            <w:pPr>
              <w:spacing w:line="320" w:lineRule="exact"/>
              <w:jc w:val="center"/>
              <w:rPr>
                <w:rFonts w:hint="eastAsia" w:ascii="宋体" w:hAnsi="宋体"/>
                <w:color w:val="auto"/>
                <w:sz w:val="24"/>
                <w:szCs w:val="24"/>
              </w:rPr>
            </w:pPr>
            <w:r>
              <w:rPr>
                <w:rFonts w:hint="eastAsia" w:ascii="宋体" w:hAnsi="宋体"/>
                <w:color w:val="auto"/>
                <w:sz w:val="24"/>
                <w:szCs w:val="24"/>
                <w:lang w:val="en-US" w:eastAsia="zh-CN"/>
              </w:rPr>
              <w:t>白底证件照</w:t>
            </w:r>
          </w:p>
          <w:p w14:paraId="4EFE412A">
            <w:pPr>
              <w:spacing w:line="32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电子版）</w:t>
            </w:r>
          </w:p>
        </w:tc>
      </w:tr>
      <w:tr w14:paraId="4913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14:paraId="51235E6B">
            <w:pPr>
              <w:spacing w:line="320" w:lineRule="exact"/>
              <w:jc w:val="center"/>
              <w:rPr>
                <w:rFonts w:ascii="宋体" w:hAnsi="宋体"/>
                <w:color w:val="auto"/>
                <w:sz w:val="24"/>
                <w:szCs w:val="24"/>
              </w:rPr>
            </w:pPr>
            <w:r>
              <w:rPr>
                <w:rFonts w:hint="eastAsia" w:ascii="宋体" w:hAnsi="宋体"/>
                <w:color w:val="auto"/>
                <w:sz w:val="24"/>
                <w:szCs w:val="24"/>
              </w:rPr>
              <w:t>出生年月</w:t>
            </w:r>
          </w:p>
        </w:tc>
        <w:tc>
          <w:tcPr>
            <w:tcW w:w="2059" w:type="dxa"/>
            <w:vAlign w:val="center"/>
          </w:tcPr>
          <w:p w14:paraId="11CCC918">
            <w:pPr>
              <w:spacing w:line="320" w:lineRule="exact"/>
              <w:ind w:firstLine="480"/>
              <w:jc w:val="center"/>
              <w:rPr>
                <w:rFonts w:ascii="宋体" w:hAnsi="宋体"/>
                <w:color w:val="auto"/>
                <w:sz w:val="24"/>
                <w:szCs w:val="24"/>
              </w:rPr>
            </w:pPr>
          </w:p>
        </w:tc>
        <w:tc>
          <w:tcPr>
            <w:tcW w:w="1800" w:type="dxa"/>
            <w:gridSpan w:val="2"/>
            <w:vAlign w:val="center"/>
          </w:tcPr>
          <w:p w14:paraId="1B16F8AD">
            <w:pPr>
              <w:spacing w:line="320" w:lineRule="exact"/>
              <w:jc w:val="center"/>
              <w:rPr>
                <w:rFonts w:ascii="宋体" w:hAnsi="宋体"/>
                <w:color w:val="auto"/>
                <w:sz w:val="24"/>
                <w:szCs w:val="24"/>
              </w:rPr>
            </w:pPr>
            <w:r>
              <w:rPr>
                <w:rFonts w:hint="eastAsia" w:ascii="宋体" w:hAnsi="宋体"/>
                <w:color w:val="auto"/>
                <w:sz w:val="24"/>
                <w:szCs w:val="24"/>
              </w:rPr>
              <w:t>手    机</w:t>
            </w:r>
          </w:p>
        </w:tc>
        <w:tc>
          <w:tcPr>
            <w:tcW w:w="2131" w:type="dxa"/>
            <w:gridSpan w:val="2"/>
            <w:vAlign w:val="center"/>
          </w:tcPr>
          <w:p w14:paraId="7ABCEAE6">
            <w:pPr>
              <w:spacing w:line="320" w:lineRule="exact"/>
              <w:ind w:firstLine="480"/>
              <w:jc w:val="center"/>
              <w:rPr>
                <w:rFonts w:ascii="宋体" w:hAnsi="宋体"/>
                <w:color w:val="auto"/>
                <w:sz w:val="24"/>
                <w:szCs w:val="24"/>
              </w:rPr>
            </w:pPr>
          </w:p>
        </w:tc>
        <w:tc>
          <w:tcPr>
            <w:tcW w:w="1908" w:type="dxa"/>
            <w:vMerge w:val="continue"/>
            <w:vAlign w:val="center"/>
          </w:tcPr>
          <w:p w14:paraId="5D921BC5">
            <w:pPr>
              <w:spacing w:line="320" w:lineRule="exact"/>
              <w:ind w:firstLine="480"/>
              <w:jc w:val="center"/>
              <w:rPr>
                <w:rFonts w:ascii="宋体" w:hAnsi="宋体"/>
                <w:color w:val="auto"/>
                <w:sz w:val="24"/>
                <w:szCs w:val="24"/>
              </w:rPr>
            </w:pPr>
          </w:p>
        </w:tc>
      </w:tr>
      <w:tr w14:paraId="601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14:paraId="74D286EB">
            <w:pPr>
              <w:spacing w:line="320" w:lineRule="exact"/>
              <w:jc w:val="center"/>
              <w:rPr>
                <w:rFonts w:ascii="宋体" w:hAnsi="宋体" w:eastAsiaTheme="minorEastAsia"/>
                <w:color w:val="auto"/>
                <w:sz w:val="24"/>
                <w:szCs w:val="24"/>
              </w:rPr>
            </w:pPr>
            <w:r>
              <w:rPr>
                <w:rFonts w:hint="eastAsia" w:ascii="宋体" w:hAnsi="宋体"/>
                <w:color w:val="auto"/>
                <w:sz w:val="24"/>
                <w:szCs w:val="24"/>
              </w:rPr>
              <w:t>职    务</w:t>
            </w:r>
          </w:p>
        </w:tc>
        <w:tc>
          <w:tcPr>
            <w:tcW w:w="2059" w:type="dxa"/>
            <w:vAlign w:val="center"/>
          </w:tcPr>
          <w:p w14:paraId="06FC5BA0">
            <w:pPr>
              <w:spacing w:line="320" w:lineRule="exact"/>
              <w:ind w:firstLine="480"/>
              <w:jc w:val="center"/>
              <w:rPr>
                <w:rFonts w:ascii="宋体" w:hAnsi="宋体"/>
                <w:color w:val="auto"/>
                <w:sz w:val="24"/>
                <w:szCs w:val="24"/>
              </w:rPr>
            </w:pPr>
          </w:p>
        </w:tc>
        <w:tc>
          <w:tcPr>
            <w:tcW w:w="1800" w:type="dxa"/>
            <w:gridSpan w:val="2"/>
            <w:vAlign w:val="center"/>
          </w:tcPr>
          <w:p w14:paraId="47FFA170">
            <w:pPr>
              <w:spacing w:line="320" w:lineRule="exact"/>
              <w:jc w:val="center"/>
              <w:rPr>
                <w:rFonts w:ascii="宋体" w:hAnsi="宋体"/>
                <w:color w:val="auto"/>
                <w:sz w:val="24"/>
                <w:szCs w:val="24"/>
              </w:rPr>
            </w:pPr>
            <w:r>
              <w:rPr>
                <w:rFonts w:hint="eastAsia" w:ascii="宋体" w:hAnsi="宋体"/>
                <w:color w:val="auto"/>
                <w:sz w:val="24"/>
                <w:szCs w:val="24"/>
              </w:rPr>
              <w:t>职    称</w:t>
            </w:r>
          </w:p>
        </w:tc>
        <w:tc>
          <w:tcPr>
            <w:tcW w:w="2131" w:type="dxa"/>
            <w:gridSpan w:val="2"/>
            <w:vAlign w:val="center"/>
          </w:tcPr>
          <w:p w14:paraId="35D91EAA">
            <w:pPr>
              <w:spacing w:line="320" w:lineRule="exact"/>
              <w:ind w:firstLine="480"/>
              <w:jc w:val="center"/>
              <w:rPr>
                <w:rFonts w:ascii="宋体" w:hAnsi="宋体"/>
                <w:color w:val="auto"/>
                <w:sz w:val="24"/>
                <w:szCs w:val="24"/>
              </w:rPr>
            </w:pPr>
          </w:p>
        </w:tc>
        <w:tc>
          <w:tcPr>
            <w:tcW w:w="1908" w:type="dxa"/>
            <w:vMerge w:val="continue"/>
            <w:vAlign w:val="center"/>
          </w:tcPr>
          <w:p w14:paraId="082A40AD">
            <w:pPr>
              <w:spacing w:line="320" w:lineRule="exact"/>
              <w:ind w:firstLine="480"/>
              <w:jc w:val="center"/>
              <w:rPr>
                <w:rFonts w:ascii="宋体" w:hAnsi="宋体"/>
                <w:color w:val="auto"/>
                <w:sz w:val="24"/>
                <w:szCs w:val="24"/>
              </w:rPr>
            </w:pPr>
          </w:p>
        </w:tc>
      </w:tr>
      <w:tr w14:paraId="0D12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14:paraId="52B40E16">
            <w:pPr>
              <w:spacing w:line="320" w:lineRule="exact"/>
              <w:jc w:val="center"/>
              <w:rPr>
                <w:rFonts w:ascii="宋体" w:hAnsi="宋体" w:eastAsiaTheme="minorEastAsia"/>
                <w:color w:val="auto"/>
                <w:sz w:val="24"/>
                <w:szCs w:val="24"/>
              </w:rPr>
            </w:pPr>
            <w:r>
              <w:rPr>
                <w:rFonts w:hint="eastAsia" w:ascii="宋体" w:hAnsi="宋体" w:eastAsiaTheme="minorEastAsia"/>
                <w:color w:val="auto"/>
                <w:sz w:val="24"/>
                <w:szCs w:val="24"/>
              </w:rPr>
              <w:t>最高学历</w:t>
            </w:r>
          </w:p>
        </w:tc>
        <w:tc>
          <w:tcPr>
            <w:tcW w:w="2059" w:type="dxa"/>
            <w:vAlign w:val="center"/>
          </w:tcPr>
          <w:p w14:paraId="4B96A8EB">
            <w:pPr>
              <w:spacing w:line="320" w:lineRule="exact"/>
              <w:ind w:firstLine="480"/>
              <w:jc w:val="center"/>
              <w:rPr>
                <w:rFonts w:ascii="宋体" w:hAnsi="宋体"/>
                <w:color w:val="auto"/>
                <w:sz w:val="24"/>
                <w:szCs w:val="24"/>
              </w:rPr>
            </w:pPr>
          </w:p>
        </w:tc>
        <w:tc>
          <w:tcPr>
            <w:tcW w:w="1800" w:type="dxa"/>
            <w:gridSpan w:val="2"/>
            <w:vAlign w:val="center"/>
          </w:tcPr>
          <w:p w14:paraId="21B7F13C">
            <w:pPr>
              <w:spacing w:line="320" w:lineRule="exact"/>
              <w:jc w:val="center"/>
              <w:rPr>
                <w:rFonts w:ascii="宋体" w:hAnsi="宋体"/>
                <w:color w:val="auto"/>
                <w:sz w:val="24"/>
                <w:szCs w:val="24"/>
              </w:rPr>
            </w:pPr>
            <w:r>
              <w:rPr>
                <w:rFonts w:hint="eastAsia" w:ascii="宋体" w:hAnsi="宋体"/>
                <w:color w:val="auto"/>
                <w:sz w:val="24"/>
                <w:szCs w:val="24"/>
              </w:rPr>
              <w:t>邮   箱</w:t>
            </w:r>
          </w:p>
        </w:tc>
        <w:tc>
          <w:tcPr>
            <w:tcW w:w="2131" w:type="dxa"/>
            <w:gridSpan w:val="2"/>
            <w:vAlign w:val="center"/>
          </w:tcPr>
          <w:p w14:paraId="33459704">
            <w:pPr>
              <w:spacing w:line="320" w:lineRule="exact"/>
              <w:ind w:firstLine="480"/>
              <w:jc w:val="center"/>
              <w:rPr>
                <w:rFonts w:ascii="宋体" w:hAnsi="宋体"/>
                <w:color w:val="auto"/>
                <w:sz w:val="24"/>
                <w:szCs w:val="24"/>
              </w:rPr>
            </w:pPr>
          </w:p>
        </w:tc>
        <w:tc>
          <w:tcPr>
            <w:tcW w:w="1908" w:type="dxa"/>
            <w:vMerge w:val="continue"/>
            <w:vAlign w:val="center"/>
          </w:tcPr>
          <w:p w14:paraId="71E8EA71">
            <w:pPr>
              <w:spacing w:line="320" w:lineRule="exact"/>
              <w:ind w:firstLine="480"/>
              <w:jc w:val="center"/>
              <w:rPr>
                <w:rFonts w:ascii="宋体" w:hAnsi="宋体"/>
                <w:color w:val="auto"/>
                <w:sz w:val="24"/>
                <w:szCs w:val="24"/>
              </w:rPr>
            </w:pPr>
          </w:p>
        </w:tc>
      </w:tr>
      <w:tr w14:paraId="4263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14:paraId="563C2395">
            <w:pPr>
              <w:spacing w:line="320" w:lineRule="exact"/>
              <w:jc w:val="center"/>
              <w:rPr>
                <w:rFonts w:ascii="宋体" w:hAnsi="宋体"/>
                <w:color w:val="auto"/>
                <w:sz w:val="24"/>
                <w:szCs w:val="24"/>
              </w:rPr>
            </w:pPr>
            <w:r>
              <w:rPr>
                <w:rFonts w:hint="eastAsia" w:ascii="宋体" w:hAnsi="宋体"/>
                <w:color w:val="auto"/>
                <w:sz w:val="24"/>
                <w:szCs w:val="24"/>
              </w:rPr>
              <w:t>从事本行业</w:t>
            </w:r>
          </w:p>
          <w:p w14:paraId="4B70A356">
            <w:pPr>
              <w:spacing w:line="320" w:lineRule="exact"/>
              <w:jc w:val="center"/>
              <w:rPr>
                <w:rFonts w:ascii="宋体" w:hAnsi="宋体"/>
                <w:color w:val="auto"/>
                <w:sz w:val="24"/>
                <w:szCs w:val="24"/>
              </w:rPr>
            </w:pPr>
            <w:r>
              <w:rPr>
                <w:rFonts w:hint="eastAsia" w:ascii="宋体" w:hAnsi="宋体"/>
                <w:color w:val="auto"/>
                <w:sz w:val="24"/>
                <w:szCs w:val="24"/>
              </w:rPr>
              <w:t>工作年限</w:t>
            </w:r>
          </w:p>
        </w:tc>
        <w:tc>
          <w:tcPr>
            <w:tcW w:w="2059" w:type="dxa"/>
            <w:vAlign w:val="center"/>
          </w:tcPr>
          <w:p w14:paraId="56BBB6BF">
            <w:pPr>
              <w:ind w:firstLine="482"/>
              <w:jc w:val="center"/>
              <w:rPr>
                <w:rFonts w:ascii="宋体" w:hAnsi="宋体" w:eastAsiaTheme="minorEastAsia"/>
                <w:color w:val="auto"/>
                <w:sz w:val="24"/>
                <w:szCs w:val="24"/>
              </w:rPr>
            </w:pPr>
          </w:p>
        </w:tc>
        <w:tc>
          <w:tcPr>
            <w:tcW w:w="1810" w:type="dxa"/>
            <w:gridSpan w:val="3"/>
            <w:vAlign w:val="center"/>
          </w:tcPr>
          <w:p w14:paraId="467F44EF">
            <w:pPr>
              <w:spacing w:line="300" w:lineRule="exact"/>
              <w:jc w:val="center"/>
              <w:rPr>
                <w:rFonts w:ascii="宋体" w:hAnsi="宋体" w:eastAsiaTheme="minorEastAsia"/>
                <w:color w:val="auto"/>
                <w:sz w:val="24"/>
                <w:szCs w:val="24"/>
              </w:rPr>
            </w:pPr>
            <w:r>
              <w:rPr>
                <w:rFonts w:hint="eastAsia" w:ascii="宋体" w:hAnsi="宋体"/>
                <w:color w:val="auto"/>
                <w:sz w:val="24"/>
                <w:szCs w:val="24"/>
              </w:rPr>
              <w:t>身份证号码</w:t>
            </w:r>
          </w:p>
        </w:tc>
        <w:tc>
          <w:tcPr>
            <w:tcW w:w="4029" w:type="dxa"/>
            <w:gridSpan w:val="2"/>
            <w:vAlign w:val="center"/>
          </w:tcPr>
          <w:p w14:paraId="6B7279ED">
            <w:pPr>
              <w:ind w:firstLine="482"/>
              <w:jc w:val="center"/>
              <w:rPr>
                <w:rFonts w:ascii="宋体" w:hAnsi="宋体" w:eastAsiaTheme="minorEastAsia"/>
                <w:color w:val="auto"/>
                <w:sz w:val="24"/>
                <w:szCs w:val="24"/>
              </w:rPr>
            </w:pPr>
          </w:p>
        </w:tc>
      </w:tr>
      <w:tr w14:paraId="5F3C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14:paraId="7F369FF1">
            <w:pPr>
              <w:spacing w:line="320" w:lineRule="exact"/>
              <w:jc w:val="both"/>
              <w:rPr>
                <w:rFonts w:ascii="宋体" w:hAnsi="宋体" w:eastAsiaTheme="minorEastAsia" w:cstheme="minorBidi"/>
                <w:color w:val="auto"/>
                <w:sz w:val="24"/>
                <w:szCs w:val="24"/>
              </w:rPr>
            </w:pPr>
            <w:r>
              <w:rPr>
                <w:rFonts w:hint="eastAsia" w:ascii="宋体" w:hAnsi="宋体"/>
                <w:color w:val="auto"/>
                <w:sz w:val="24"/>
                <w:szCs w:val="24"/>
              </w:rPr>
              <w:t>工作单位</w:t>
            </w:r>
          </w:p>
        </w:tc>
        <w:tc>
          <w:tcPr>
            <w:tcW w:w="7898" w:type="dxa"/>
            <w:gridSpan w:val="6"/>
            <w:vAlign w:val="center"/>
          </w:tcPr>
          <w:p w14:paraId="3A076C76">
            <w:pPr>
              <w:ind w:firstLine="482"/>
              <w:jc w:val="center"/>
              <w:rPr>
                <w:rFonts w:ascii="宋体" w:hAnsi="宋体" w:eastAsiaTheme="minorEastAsia"/>
                <w:color w:val="auto"/>
                <w:sz w:val="24"/>
                <w:szCs w:val="24"/>
              </w:rPr>
            </w:pPr>
          </w:p>
        </w:tc>
      </w:tr>
      <w:tr w14:paraId="4EEE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14:paraId="74C34A22">
            <w:pPr>
              <w:spacing w:line="320" w:lineRule="exact"/>
              <w:jc w:val="both"/>
              <w:rPr>
                <w:rFonts w:ascii="宋体" w:hAnsi="宋体" w:eastAsiaTheme="minorEastAsia" w:cstheme="minorBidi"/>
                <w:color w:val="auto"/>
                <w:sz w:val="24"/>
                <w:szCs w:val="24"/>
              </w:rPr>
            </w:pPr>
            <w:r>
              <w:rPr>
                <w:rFonts w:hint="eastAsia" w:ascii="宋体" w:hAnsi="宋体"/>
                <w:color w:val="auto"/>
                <w:sz w:val="24"/>
                <w:szCs w:val="24"/>
              </w:rPr>
              <w:t>工作单位地址</w:t>
            </w:r>
          </w:p>
        </w:tc>
        <w:tc>
          <w:tcPr>
            <w:tcW w:w="7898" w:type="dxa"/>
            <w:gridSpan w:val="6"/>
            <w:vAlign w:val="center"/>
          </w:tcPr>
          <w:p w14:paraId="7940364E">
            <w:pPr>
              <w:ind w:firstLine="480"/>
              <w:jc w:val="center"/>
              <w:rPr>
                <w:rFonts w:ascii="宋体" w:hAnsi="宋体"/>
                <w:color w:val="auto"/>
                <w:sz w:val="24"/>
                <w:szCs w:val="24"/>
              </w:rPr>
            </w:pPr>
          </w:p>
        </w:tc>
      </w:tr>
      <w:tr w14:paraId="27B2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1880" w:type="dxa"/>
            <w:tcBorders>
              <w:bottom w:val="single" w:color="auto" w:sz="4" w:space="0"/>
            </w:tcBorders>
            <w:vAlign w:val="center"/>
          </w:tcPr>
          <w:p w14:paraId="0B363064">
            <w:pPr>
              <w:jc w:val="both"/>
              <w:rPr>
                <w:rFonts w:ascii="宋体" w:hAnsi="宋体"/>
                <w:color w:val="auto"/>
                <w:sz w:val="24"/>
                <w:szCs w:val="24"/>
              </w:rPr>
            </w:pPr>
            <w:r>
              <w:rPr>
                <w:rFonts w:hint="eastAsia" w:ascii="宋体" w:hAnsi="宋体"/>
                <w:color w:val="auto"/>
                <w:sz w:val="24"/>
                <w:szCs w:val="24"/>
              </w:rPr>
              <w:t>物业管理行业工作经历</w:t>
            </w:r>
          </w:p>
        </w:tc>
        <w:tc>
          <w:tcPr>
            <w:tcW w:w="7898" w:type="dxa"/>
            <w:gridSpan w:val="6"/>
            <w:tcBorders>
              <w:bottom w:val="single" w:color="auto" w:sz="4" w:space="0"/>
            </w:tcBorders>
            <w:vAlign w:val="center"/>
          </w:tcPr>
          <w:p w14:paraId="507C0B9A">
            <w:pPr>
              <w:spacing w:line="320" w:lineRule="exact"/>
              <w:ind w:firstLine="480"/>
              <w:jc w:val="center"/>
              <w:rPr>
                <w:rFonts w:ascii="宋体" w:hAnsi="宋体"/>
                <w:color w:val="auto"/>
                <w:sz w:val="24"/>
                <w:szCs w:val="24"/>
              </w:rPr>
            </w:pPr>
          </w:p>
        </w:tc>
      </w:tr>
      <w:tr w14:paraId="6FB2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4876" w:type="dxa"/>
            <w:gridSpan w:val="3"/>
            <w:tcBorders>
              <w:bottom w:val="single" w:color="auto" w:sz="4" w:space="0"/>
            </w:tcBorders>
            <w:vAlign w:val="center"/>
          </w:tcPr>
          <w:p w14:paraId="02FE8941">
            <w:pPr>
              <w:jc w:val="center"/>
              <w:rPr>
                <w:rFonts w:hint="eastAsia" w:ascii="宋体" w:hAnsi="宋体"/>
                <w:color w:val="auto"/>
                <w:sz w:val="24"/>
                <w:szCs w:val="24"/>
              </w:rPr>
            </w:pPr>
            <w:r>
              <w:rPr>
                <w:rFonts w:hint="eastAsia" w:ascii="宋体" w:hAnsi="宋体"/>
                <w:color w:val="auto"/>
                <w:sz w:val="24"/>
                <w:szCs w:val="24"/>
              </w:rPr>
              <w:t>身份证</w:t>
            </w:r>
            <w:r>
              <w:rPr>
                <w:rFonts w:hint="eastAsia" w:ascii="宋体" w:hAnsi="宋体"/>
                <w:b/>
                <w:bCs/>
                <w:color w:val="auto"/>
                <w:sz w:val="24"/>
                <w:szCs w:val="24"/>
              </w:rPr>
              <w:t>人像面</w:t>
            </w:r>
          </w:p>
          <w:p w14:paraId="184CACA2">
            <w:pPr>
              <w:jc w:val="center"/>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电子版）</w:t>
            </w:r>
          </w:p>
        </w:tc>
        <w:tc>
          <w:tcPr>
            <w:tcW w:w="4902" w:type="dxa"/>
            <w:gridSpan w:val="4"/>
            <w:tcBorders>
              <w:bottom w:val="single" w:color="auto" w:sz="4" w:space="0"/>
            </w:tcBorders>
            <w:vAlign w:val="center"/>
          </w:tcPr>
          <w:p w14:paraId="1DE3FA94">
            <w:pPr>
              <w:jc w:val="center"/>
              <w:rPr>
                <w:rFonts w:hint="eastAsia" w:ascii="宋体" w:hAnsi="宋体"/>
                <w:color w:val="auto"/>
                <w:sz w:val="24"/>
                <w:szCs w:val="24"/>
              </w:rPr>
            </w:pPr>
            <w:r>
              <w:rPr>
                <w:rFonts w:hint="eastAsia" w:ascii="宋体" w:hAnsi="宋体"/>
                <w:color w:val="auto"/>
                <w:sz w:val="24"/>
                <w:szCs w:val="24"/>
              </w:rPr>
              <w:t>身份证</w:t>
            </w:r>
            <w:r>
              <w:rPr>
                <w:rFonts w:hint="eastAsia" w:ascii="宋体" w:hAnsi="宋体"/>
                <w:b/>
                <w:bCs/>
                <w:color w:val="auto"/>
                <w:sz w:val="24"/>
                <w:szCs w:val="24"/>
              </w:rPr>
              <w:t>国徽面</w:t>
            </w:r>
          </w:p>
          <w:p w14:paraId="45F3AC0B">
            <w:pPr>
              <w:jc w:val="center"/>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电子版）</w:t>
            </w:r>
          </w:p>
        </w:tc>
      </w:tr>
    </w:tbl>
    <w:p w14:paraId="01AC5CA6">
      <w:pPr>
        <w:spacing w:beforeLines="50"/>
        <w:ind w:left="480" w:hanging="480" w:hangingChars="200"/>
        <w:rPr>
          <w:color w:val="auto"/>
        </w:rPr>
      </w:pPr>
      <w:r>
        <w:rPr>
          <w:rFonts w:hint="eastAsia" w:ascii="仿宋_GB2312" w:eastAsia="仿宋_GB2312"/>
          <w:color w:val="auto"/>
          <w:sz w:val="24"/>
        </w:rPr>
        <w:t>注：本表由学员用电子版打印完整，所填资料需真实有效，在相关处</w:t>
      </w:r>
      <w:r>
        <w:rPr>
          <w:rFonts w:hint="eastAsia" w:ascii="仿宋_GB2312" w:eastAsia="仿宋_GB2312"/>
          <w:color w:val="auto"/>
          <w:sz w:val="24"/>
          <w:lang w:val="en-US" w:eastAsia="zh-CN"/>
        </w:rPr>
        <w:t>附</w:t>
      </w:r>
      <w:r>
        <w:rPr>
          <w:rFonts w:hint="eastAsia" w:ascii="仿宋_GB2312" w:eastAsia="仿宋_GB2312"/>
          <w:color w:val="auto"/>
          <w:sz w:val="24"/>
        </w:rPr>
        <w:t>一寸白底彩色免冠近照和身份证复印件</w:t>
      </w:r>
      <w:r>
        <w:rPr>
          <w:rFonts w:hint="eastAsia" w:ascii="仿宋_GB2312" w:eastAsia="仿宋_GB2312"/>
          <w:color w:val="auto"/>
          <w:sz w:val="24"/>
          <w:lang w:eastAsia="zh-CN"/>
        </w:rPr>
        <w:t>（</w:t>
      </w:r>
      <w:r>
        <w:rPr>
          <w:rFonts w:hint="eastAsia" w:ascii="仿宋_GB2312" w:eastAsia="仿宋_GB2312"/>
          <w:color w:val="auto"/>
          <w:sz w:val="24"/>
          <w:lang w:val="en-US" w:eastAsia="zh-CN"/>
        </w:rPr>
        <w:t>电子版）</w:t>
      </w:r>
      <w:r>
        <w:rPr>
          <w:rFonts w:hint="eastAsia" w:ascii="仿宋_GB2312" w:eastAsia="仿宋_GB2312"/>
          <w:color w:val="auto"/>
          <w:sz w:val="24"/>
        </w:rPr>
        <w:t>，报到时交培训会务组。</w:t>
      </w:r>
    </w:p>
    <w:p w14:paraId="4A065004">
      <w:bookmarkStart w:id="0" w:name="_GoBack"/>
      <w:bookmarkEnd w:id="0"/>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F9F40"/>
    <w:multiLevelType w:val="singleLevel"/>
    <w:tmpl w:val="2C1F9F40"/>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YzVjNjIwNGM1ODg5ZDliZWNmMmI1OWFlMjFiZjkifQ=="/>
  </w:docVars>
  <w:rsids>
    <w:rsidRoot w:val="0C736123"/>
    <w:rsid w:val="0C73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List Number 2"/>
    <w:basedOn w:val="1"/>
    <w:uiPriority w:val="0"/>
    <w:pPr>
      <w:numPr>
        <w:ilvl w:val="0"/>
        <w:numId w:val="1"/>
      </w:numPr>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2024-08-16T09:11:00Z</dcterms:created>
  <dc:creator>段文婧</dc:creator>
  <cp:lastModifiedBy>段文婧</cp:lastModifiedBy>
  <dcterms:modified xsi:type="dcterms:W3CDTF">2024-08-16T09:11:51Z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C4CB690D9F1042DE8F4FDA9698AFCEA9_11</vt:lpwstr>
  </property>
</Properties>
</file>